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FD3FF2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RENTACOM TRONCAL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D3FF2">
        <w:rPr>
          <w:rFonts w:ascii="Times New Roman" w:hAnsi="Times New Roman"/>
          <w:b/>
          <w:sz w:val="32"/>
          <w:szCs w:val="32"/>
        </w:rPr>
        <w:t>10002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FD3FF2" w:rsidRPr="00FD3FF2">
        <w:rPr>
          <w:rFonts w:ascii="Times New Roman" w:hAnsi="Times New Roman"/>
          <w:b/>
          <w:sz w:val="28"/>
          <w:szCs w:val="24"/>
        </w:rPr>
        <w:t>EQUIPO Y APARATOS DE COMUNICACIONES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B8" w:rsidRDefault="006E2BB8">
      <w:r>
        <w:separator/>
      </w:r>
    </w:p>
  </w:endnote>
  <w:endnote w:type="continuationSeparator" w:id="0">
    <w:p w:rsidR="006E2BB8" w:rsidRDefault="006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B8" w:rsidRDefault="006E2BB8">
      <w:r>
        <w:separator/>
      </w:r>
    </w:p>
  </w:footnote>
  <w:footnote w:type="continuationSeparator" w:id="0">
    <w:p w:rsidR="006E2BB8" w:rsidRDefault="006E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2019-03-15T20:21:00Z</dcterms:created>
  <dcterms:modified xsi:type="dcterms:W3CDTF">2019-03-15T20:21:00Z</dcterms:modified>
</cp:coreProperties>
</file>