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DE1DD4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MEDICAMEX</w:t>
      </w:r>
      <w:r w:rsidR="00EB7BB4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EA4F82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B7BB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E1DD4">
        <w:rPr>
          <w:rFonts w:ascii="Times New Roman" w:hAnsi="Times New Roman"/>
          <w:b/>
          <w:sz w:val="32"/>
          <w:szCs w:val="32"/>
        </w:rPr>
        <w:t>3274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DE1DD4" w:rsidRPr="00DE1DD4">
        <w:rPr>
          <w:rFonts w:ascii="Times New Roman" w:hAnsi="Times New Roman"/>
          <w:b/>
          <w:sz w:val="28"/>
          <w:szCs w:val="24"/>
        </w:rPr>
        <w:t>MEDICINAS Y PRODUCTOS FARMACEUTICOS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El empadronamiento que ha obtenido la persona moral dentro del padrón de proveedores de la Universidad Autónoma de Nuevo León, con una vigencia hasta el mes de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61" w:rsidRDefault="002C3F61">
      <w:r>
        <w:separator/>
      </w:r>
    </w:p>
  </w:endnote>
  <w:endnote w:type="continuationSeparator" w:id="0">
    <w:p w:rsidR="002C3F61" w:rsidRDefault="002C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61" w:rsidRDefault="002C3F61">
      <w:r>
        <w:separator/>
      </w:r>
    </w:p>
  </w:footnote>
  <w:footnote w:type="continuationSeparator" w:id="0">
    <w:p w:rsidR="002C3F61" w:rsidRDefault="002C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3F61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1DD4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2019-06-12T21:15:00Z</dcterms:created>
  <dcterms:modified xsi:type="dcterms:W3CDTF">2019-06-12T21:15:00Z</dcterms:modified>
</cp:coreProperties>
</file>